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387" w:rsidRPr="00234387" w:rsidRDefault="00234387" w:rsidP="00234387">
      <w:pPr>
        <w:spacing w:after="0" w:line="240" w:lineRule="auto"/>
        <w:jc w:val="center"/>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b/>
          <w:bCs/>
          <w:color w:val="000000"/>
          <w:sz w:val="27"/>
          <w:szCs w:val="27"/>
          <w:lang w:eastAsia="ru-RU"/>
        </w:rPr>
        <w:t>ПУБЛІЧНЕ АКЦІОНЕРНЕ ТОВАРИСТВО</w:t>
      </w:r>
    </w:p>
    <w:p w:rsidR="00234387" w:rsidRPr="00234387" w:rsidRDefault="00234387" w:rsidP="00234387">
      <w:pPr>
        <w:spacing w:after="0" w:line="240" w:lineRule="auto"/>
        <w:jc w:val="center"/>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b/>
          <w:bCs/>
          <w:color w:val="000000"/>
          <w:sz w:val="27"/>
          <w:szCs w:val="27"/>
          <w:lang w:eastAsia="ru-RU"/>
        </w:rPr>
        <w:t>“КРЕМЕНЧУЦЬКИЙ РІЧКОВИЙ ПОРТ”</w:t>
      </w:r>
    </w:p>
    <w:p w:rsidR="00234387" w:rsidRPr="00234387" w:rsidRDefault="00234387" w:rsidP="00234387">
      <w:pPr>
        <w:spacing w:after="0" w:line="240" w:lineRule="auto"/>
        <w:jc w:val="center"/>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(далі — Товариство, місцезнаходження: 39630, Полтавська обл., м.Кременчук, вул.Флотська, 2)</w:t>
      </w:r>
    </w:p>
    <w:p w:rsidR="00234387" w:rsidRPr="00234387" w:rsidRDefault="00234387" w:rsidP="00234387">
      <w:pPr>
        <w:spacing w:after="0" w:line="240" w:lineRule="auto"/>
        <w:jc w:val="center"/>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 </w:t>
      </w:r>
    </w:p>
    <w:p w:rsidR="00234387" w:rsidRPr="00234387" w:rsidRDefault="00234387" w:rsidP="00234387">
      <w:pPr>
        <w:spacing w:after="0" w:line="240" w:lineRule="auto"/>
        <w:jc w:val="center"/>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повідомляє, що річні загальні збори акціонерів (далі – загальні збори) відбудуться 26 квітня 2018 року о 10.00 за адресою: 39630, Полтавська обл. м. Кременчук, вул. Флотська, 2 (у приміщенні їдальні у 1-ому залі)</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 </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Реєстрація учасників загальних зборів з 9.00 до 9.45 за місцем проведення загальних зборів.</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Дата складання переліку акціонерів, які мають право на участь у загальних зборах – 20 квітня 2018 року (станом на 24 годину).</w:t>
      </w:r>
    </w:p>
    <w:p w:rsidR="00234387" w:rsidRPr="00234387" w:rsidRDefault="00234387" w:rsidP="00234387">
      <w:pPr>
        <w:spacing w:after="0" w:line="240" w:lineRule="auto"/>
        <w:jc w:val="center"/>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 </w:t>
      </w:r>
    </w:p>
    <w:p w:rsidR="00234387" w:rsidRPr="00234387" w:rsidRDefault="00234387" w:rsidP="00234387">
      <w:pPr>
        <w:spacing w:after="0" w:line="240" w:lineRule="auto"/>
        <w:jc w:val="center"/>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b/>
          <w:bCs/>
          <w:color w:val="000000"/>
          <w:sz w:val="27"/>
          <w:szCs w:val="27"/>
          <w:lang w:eastAsia="ru-RU"/>
        </w:rPr>
        <w:t>Проект порядку денного:</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1. Обрання лічильної комісії загальних зборів.</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Обрати на строк до завершення загальних зборів лічильну комісію у складі голови лічильної комісії Маркової О.О., членів лічильної комісії Ківи Т.С., Дудник Л.С.</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2. Схвалення рішення Наглядової ради Товариства про затвердження порядку та способу засвідчення бюлетенів для голосування на річних загальних зборах.</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Схвалити рішення Наглядової ради від 27.02.2018 року про затвердження порядку та способу засвідчення бюлетенів для голосування на річних загальних зборах акціонерів.</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3. Звіт генерального директора про результати фінансово-господарської діяльності Товариства за 2017 рік.</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Затвердити звіт генерального директора про результати фінансово-господарської діяльності Товариства за 2017 рік.</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4. Звіт Наглядової ради Товариства за 2017 рік.</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Затвердити звіт Наглядової ради Товариства за 2017 рік.</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5. Звіт та висновки Ревізійної комісії за підсумками перевірки фінансово-господарської діяльності Товариства за результатами 2017 року.</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Затвердити звіт та висновки Ревізійної комісії за підсумками перевірки фінансово-господарської діяльності Товариства за результатами 2017 року.</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6. Затвердження річного звіту та балансу Товариства за 2017 рік.</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Затвердити річний звіт та баланс Товариства за 2017 рік.</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7. Розподіл прибутку за 2017 рік.</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Прибуток, отриманий у 2017 році, у розмірі 2560 тис. грн залишити нерозподіленим.</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8. Зміна типу Товариства.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Змінити тип Товариства з публічного на приватний.</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9. Зміна найменування Товариства.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xml:space="preserve"> Змінити повне найменування Товариства з ПУБЛІЧНЕ АКЦІОНЕРНЕ ТОВАРИСТВО ”КРЕМЕНЧУЦЬКИЙ РІЧКОВИЙ ПОРТ” на </w:t>
      </w:r>
      <w:r w:rsidRPr="00234387">
        <w:rPr>
          <w:rFonts w:ascii="Times New Roman" w:eastAsia="Times New Roman" w:hAnsi="Times New Roman" w:cs="Times New Roman"/>
          <w:color w:val="000000"/>
          <w:sz w:val="27"/>
          <w:szCs w:val="27"/>
          <w:lang w:eastAsia="ru-RU"/>
        </w:rPr>
        <w:lastRenderedPageBreak/>
        <w:t>ПРИВАТНЕ АКЦІОНЕРНЕ ТОВАРИСТВО ”КРЕМЕНЧУЦЬКИЙ РІЧКОВИЙ ПОРТ”, скорочене найменування - з ПАТ ”КРРП” на «ПРАТ ”КРРП”.</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10. Внесення змін та доповнень до Статуту Товариства шляхом викладення Статуту в новій редакції.</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Внести зміни та доповнення до Статуту Товариства, у зв’язку зі зміною типу Товариства та приведенням Статуту Товариства у відповідність до вимог чинного законодавства України, шляхом викладення його в новій редакції. Уповноважити голову загальних зборів Жданову Т.І. та секретаря загальних зборів Глушко О.І. підписати Статут в новій редакції, а також підписати протокол загальних зборів акціонерів. Уповноважити Генерального директора Товариства Жданову Т.І. забезпечити проведення державної реєстрації Статуту в новій редакції.</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11. Внесення змін та доповнень шляхом викладення в новій редакції внутрішніх положень Товариства.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Внести зміни та доповнення до положень Товариства «Про загальні збори акціонерів», «Про Наглядову раду», «Про виконавчий орган», у зв’язку зі зміною типу Товариства та приведенням внутрішніх положень Товариства у відповідність до вимог чинного законодавства України шляхом викладення їх в новій редакції.</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12. Припинення повноважень членів Наглядової ради Товариства.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Припинити повноваження членів Наглядової ради Товариства: Шулика А.М., Герасименка П.І., Жданова Б.П.</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13. Обрання членів Наглядової ради Товариства.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Обрання членів Наглядової ради Товариства здійснюється шляхом кумулятивного голосування.</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14. Припинення повноважень членів Ревізійної комісії.</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Припинити повноваження членів Ревізійної комісії Товариства: Кобця П.П., Кінаш Н.М., Олійник Т.А.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15. Встановлення розміру винагороди членів Наглядової ради Товариства. Затвердження умов цивільно-правових (трудових) договорів, що укладатимуться з членами Наглядової ради Товариства, та обрання особи, яка уповноважується</w:t>
      </w:r>
      <w:r w:rsidRPr="00234387">
        <w:rPr>
          <w:rFonts w:ascii="Times New Roman" w:eastAsia="Times New Roman" w:hAnsi="Times New Roman" w:cs="Times New Roman"/>
          <w:i/>
          <w:iCs/>
          <w:color w:val="000000"/>
          <w:sz w:val="27"/>
          <w:szCs w:val="27"/>
          <w:lang w:eastAsia="ru-RU"/>
        </w:rPr>
        <w:t> </w:t>
      </w:r>
      <w:r w:rsidRPr="00234387">
        <w:rPr>
          <w:rFonts w:ascii="Times New Roman" w:eastAsia="Times New Roman" w:hAnsi="Times New Roman" w:cs="Times New Roman"/>
          <w:color w:val="000000"/>
          <w:sz w:val="27"/>
          <w:szCs w:val="27"/>
          <w:lang w:eastAsia="ru-RU"/>
        </w:rPr>
        <w:t>на підписання договорів з членами Наглядової ради Товариства.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Встановити, що члени Наглядової ради Товариства здійснюють свої повноваження на безоплатній основі. Затвердити умови договорів, що укладатимуться з членами Наглядової ради Товариства. Обрати Генерального директора Товариства Жданову Т.І. особою, яка уповноважується на підписання договорів з членами Наглядової ради Товариства.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16. Включення до основних наступного виду діяльності - “68.20 Надання в оренду й експлуатацію власного чи орендованого нерухомого майна”.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u w:val="single"/>
          <w:lang w:eastAsia="ru-RU"/>
        </w:rPr>
        <w:t>Проект рішення:</w:t>
      </w:r>
      <w:r w:rsidRPr="00234387">
        <w:rPr>
          <w:rFonts w:ascii="Times New Roman" w:eastAsia="Times New Roman" w:hAnsi="Times New Roman" w:cs="Times New Roman"/>
          <w:color w:val="000000"/>
          <w:sz w:val="27"/>
          <w:szCs w:val="27"/>
          <w:lang w:eastAsia="ru-RU"/>
        </w:rPr>
        <w:t> Включити до основних вид діяльності “68.20 Надання в оренду й експлуатацію власного чи орендованого нерухомого майна”.</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 </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Адреса власного веб-сайту, на якому розміщена інформація з проектом рішень щодо кожного з питань, включених до проекту порядку денного, та інша інформація, передбачена чинним законодавством України:  www.krrp.net</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lastRenderedPageBreak/>
        <w:t>Для участі у загальних зборах акціонери повинні мати документи, що посвідчують їх особу (паспорт), а представники акціонерів – документи, що посвідчують їх особу (паспорт) та документи, які надають їм право брати участь та голосувати на загальних зборах, зокрема, але не обмежуючись цим:</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керівник акціонера-юридичної особи – витяг із Єдиного державного реєстру юридичних осіб, фізичних осіб-підприємців та громадських формувань, статут юридичної особи та, якщо це передбачено статутом юридичної особи, рішення уповноваженого органу юридичної особи про надання керівнику повноважень щодо участі та голосування на загальних зборах;</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представник акціонера за довіреністю – оформлену згідно з чинним законодавством України довіреність, яка надає представнику право на участь та голосування на загальних зборах.</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Акціонер має право видати довіреність на право участі та голосування на загальних зборах декільком своїм представникам.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 До закінчення часу, відведеного на реєстрацію учасників загальних зборів, акціонер має право замінити свого представника, повідомивши про це реєстраційну комісію та Генерального директора Товариства, або взяти участь у загальних зборах особисто. У разі, якщо для участі в загальних зборах з’явиться декілька представників акціонера, зареєстрованим буде той представник, довіреність якому буде видана пізніше. У разі, якщо акція перебуває у спільній власності декількох осіб, повноваження щодо голосування на загальних зборах здійснюється за їх згодою одним із співвласників або їх загальним представником.</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Представник акціонера голосує на загальних зборах на свій розсуд або згідно з завданням щодо голосування, виданим акціонером.</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Для ознайомлення з матеріалами до загальних зборів та документами, необхідними для прийняття рішень з питань проекту порядку денного, та проектами рішень з питань, що виносяться на голосування, звертатися за місцезнаходженням Товариства: 39630, Полтавська обл., м.Кременчук, вул.Флотська, 2, кабінет планово-економічного відділу, у робочі дні, робочі години (з 8.00 до 16.40 (обідня перерва з 12.00 до 12.40)), а в день проведення загальних  зборів - за місцем проведення загальних зборів. Посадова особа, відповідальна за порядок ознайомлення акціонерів з документами – Генеральний директор Товариства Жданова Т.І. Акціонери мають право не пізніше початку загальних зборів направляти письмові запитання щодо питань, включених до проекту порядку денного загальних зборів та порядку денного загальних зборів.</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 xml:space="preserve">Акціонери мають право вносити пропозиції до проекту порядку денного загальних зборів не пізніше ніж за 20 днів, а щодо кандидатів до складу органів Товариства - не пізніше ніж за 7 днів до дня проведення загальних зборів. Пропозиції подаються в письмовій формі на адресу за місцезнаходженням Товариства та мають містити прізвище, ім’я, по батькові або найменування акціонера(ів), який її вносить, кількість та тип належних йому акцій Товариства, запропоноване питання для включення до проекту порядку денного з проектом </w:t>
      </w:r>
      <w:r w:rsidRPr="00234387">
        <w:rPr>
          <w:rFonts w:ascii="Times New Roman" w:eastAsia="Times New Roman" w:hAnsi="Times New Roman" w:cs="Times New Roman"/>
          <w:color w:val="000000"/>
          <w:sz w:val="27"/>
          <w:szCs w:val="27"/>
          <w:lang w:eastAsia="ru-RU"/>
        </w:rPr>
        <w:lastRenderedPageBreak/>
        <w:t>рішення та/або проект рішення до питання, включеного до проекту порядку денного, та/або прізвище, ім’я, по батькові кандидата, кількість та тип належних йому акцій Товариства та іншу інформацію, передбачену чинним законодавством України. Акціонери мають право у встановлений чинним законодавством України строк оскаржувати до суду рішення про відмову у включенні їх пропозицій до проекту порядку денного загальних зборів. З запитаннями та за роз’ясненнями щодо порядку подання пропозицій до проекту порядку денного акціонери можуть звертатися у планово-економічний відділ за наведеним нижче номером телефону.</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Згідно з переліком осіб, яким надсилається повідомлення про проведення загальних зборів, складеним станом на 12.03.2018 року, загальна кількість простих іменних акцій Товариства становить 195216 штуки, загальна кількість голосуючих акцій Товариства становить 191098 штук.</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Довідки за тел.: (0536) 78-09-08, 79-36-24.</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 </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Основні показники фінансово-господарської діяльності підприємства (тис.грн)</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77"/>
        <w:gridCol w:w="1898"/>
        <w:gridCol w:w="2064"/>
      </w:tblGrid>
      <w:tr w:rsidR="00234387" w:rsidRPr="00234387" w:rsidTr="00234387">
        <w:trPr>
          <w:tblCellSpacing w:w="15" w:type="dxa"/>
        </w:trPr>
        <w:tc>
          <w:tcPr>
            <w:tcW w:w="5355" w:type="dxa"/>
            <w:vMerge w:val="restart"/>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Найменування показника</w:t>
            </w:r>
          </w:p>
        </w:tc>
        <w:tc>
          <w:tcPr>
            <w:tcW w:w="3900" w:type="dxa"/>
            <w:gridSpan w:val="2"/>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Період</w:t>
            </w:r>
          </w:p>
        </w:tc>
      </w:tr>
      <w:tr w:rsidR="00234387" w:rsidRPr="00234387" w:rsidTr="00234387">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Звітний 2017р.</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Попередній 2016р.</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Усього активів</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39569</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36714</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Основні засоби (за залишковою вартістю)</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29749</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31654</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Запаси</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3868</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2295</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Сумарна дебіторська заборгованість</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5676</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2387</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Гроші та їх еквіваленти</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83</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25</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Нерозподілений прибуток</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22349</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19227</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Власний капітал</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22419</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19297</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Зареєстрований (пайовий/статутний) капітал</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68</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68</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Довгострокові зобов’язання і забезпечення</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5248</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6777</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Поточні зобов’язання і забезпечення</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11902</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10640</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Чистий фінансовий результат: прибуток (збиток)</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2560</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827</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Середньорічна кількість акцій (шт.)</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195216</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195216</w:t>
            </w:r>
          </w:p>
        </w:tc>
      </w:tr>
      <w:tr w:rsidR="00234387" w:rsidRPr="00234387" w:rsidTr="00234387">
        <w:trPr>
          <w:tblCellSpacing w:w="15" w:type="dxa"/>
        </w:trPr>
        <w:tc>
          <w:tcPr>
            <w:tcW w:w="5355" w:type="dxa"/>
            <w:tcBorders>
              <w:top w:val="dotted" w:sz="6" w:space="0" w:color="D3D3D3"/>
              <w:left w:val="dotted" w:sz="6" w:space="0" w:color="D3D3D3"/>
              <w:bottom w:val="dotted" w:sz="6" w:space="0" w:color="D3D3D3"/>
              <w:right w:val="dotted" w:sz="6" w:space="0" w:color="D3D3D3"/>
            </w:tcBorders>
            <w:hideMark/>
          </w:tcPr>
          <w:p w:rsidR="00234387" w:rsidRPr="00234387" w:rsidRDefault="00234387" w:rsidP="00234387">
            <w:pPr>
              <w:spacing w:after="0" w:line="240" w:lineRule="auto"/>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Чистий  прибуток (збиток) на одну просту акцію (грн)</w:t>
            </w:r>
          </w:p>
        </w:tc>
        <w:tc>
          <w:tcPr>
            <w:tcW w:w="187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13</w:t>
            </w:r>
          </w:p>
        </w:tc>
        <w:tc>
          <w:tcPr>
            <w:tcW w:w="2025" w:type="dxa"/>
            <w:tcBorders>
              <w:top w:val="dotted" w:sz="6" w:space="0" w:color="D3D3D3"/>
              <w:left w:val="dotted" w:sz="6" w:space="0" w:color="D3D3D3"/>
              <w:bottom w:val="dotted" w:sz="6" w:space="0" w:color="D3D3D3"/>
              <w:right w:val="dotted" w:sz="6" w:space="0" w:color="D3D3D3"/>
            </w:tcBorders>
            <w:vAlign w:val="center"/>
            <w:hideMark/>
          </w:tcPr>
          <w:p w:rsidR="00234387" w:rsidRPr="00234387" w:rsidRDefault="00234387" w:rsidP="00234387">
            <w:pPr>
              <w:spacing w:after="0" w:line="240" w:lineRule="auto"/>
              <w:jc w:val="center"/>
              <w:rPr>
                <w:rFonts w:ascii="Times New Roman" w:eastAsia="Times New Roman" w:hAnsi="Times New Roman" w:cs="Times New Roman"/>
                <w:sz w:val="24"/>
                <w:szCs w:val="24"/>
                <w:lang w:eastAsia="ru-RU"/>
              </w:rPr>
            </w:pPr>
            <w:r w:rsidRPr="00234387">
              <w:rPr>
                <w:rFonts w:ascii="Times New Roman" w:eastAsia="Times New Roman" w:hAnsi="Times New Roman" w:cs="Times New Roman"/>
                <w:sz w:val="24"/>
                <w:szCs w:val="24"/>
                <w:lang w:eastAsia="ru-RU"/>
              </w:rPr>
              <w:t>4</w:t>
            </w:r>
          </w:p>
        </w:tc>
      </w:tr>
    </w:tbl>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 </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Повідомлення про проведення загальних зборів опубліковано: “Відомості НКЦПФР” №54 від 20.03.2018 р.</w:t>
      </w:r>
    </w:p>
    <w:p w:rsidR="00234387" w:rsidRPr="00234387" w:rsidRDefault="00234387" w:rsidP="00234387">
      <w:pPr>
        <w:spacing w:after="0" w:line="240" w:lineRule="auto"/>
        <w:rPr>
          <w:rFonts w:ascii="Times New Roman" w:eastAsia="Times New Roman" w:hAnsi="Times New Roman" w:cs="Times New Roman"/>
          <w:color w:val="000000"/>
          <w:sz w:val="27"/>
          <w:szCs w:val="27"/>
          <w:lang w:eastAsia="ru-RU"/>
        </w:rPr>
      </w:pPr>
      <w:r w:rsidRPr="00234387">
        <w:rPr>
          <w:rFonts w:ascii="Times New Roman" w:eastAsia="Times New Roman" w:hAnsi="Times New Roman" w:cs="Times New Roman"/>
          <w:color w:val="000000"/>
          <w:sz w:val="27"/>
          <w:szCs w:val="27"/>
          <w:lang w:eastAsia="ru-RU"/>
        </w:rPr>
        <w:t>Повідомлення розміщене на офіційному сайті 23.03.2018р.</w:t>
      </w:r>
    </w:p>
    <w:p w:rsidR="00F07D07" w:rsidRDefault="00F07D07">
      <w:bookmarkStart w:id="0" w:name="_GoBack"/>
      <w:bookmarkEnd w:id="0"/>
    </w:p>
    <w:sectPr w:rsidR="00F07D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387"/>
    <w:rsid w:val="00234387"/>
    <w:rsid w:val="00F0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41A6F-34AD-4831-B034-DE15D996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274406">
      <w:bodyDiv w:val="1"/>
      <w:marLeft w:val="0"/>
      <w:marRight w:val="0"/>
      <w:marTop w:val="0"/>
      <w:marBottom w:val="0"/>
      <w:divBdr>
        <w:top w:val="none" w:sz="0" w:space="0" w:color="auto"/>
        <w:left w:val="none" w:sz="0" w:space="0" w:color="auto"/>
        <w:bottom w:val="none" w:sz="0" w:space="0" w:color="auto"/>
        <w:right w:val="none" w:sz="0" w:space="0" w:color="auto"/>
      </w:divBdr>
      <w:divsChild>
        <w:div w:id="431897783">
          <w:marLeft w:val="0"/>
          <w:marRight w:val="0"/>
          <w:marTop w:val="0"/>
          <w:marBottom w:val="0"/>
          <w:divBdr>
            <w:top w:val="none" w:sz="0" w:space="0" w:color="auto"/>
            <w:left w:val="none" w:sz="0" w:space="0" w:color="auto"/>
            <w:bottom w:val="none" w:sz="0" w:space="0" w:color="auto"/>
            <w:right w:val="none" w:sz="0" w:space="0" w:color="auto"/>
          </w:divBdr>
        </w:div>
        <w:div w:id="1373850401">
          <w:marLeft w:val="0"/>
          <w:marRight w:val="0"/>
          <w:marTop w:val="0"/>
          <w:marBottom w:val="0"/>
          <w:divBdr>
            <w:top w:val="none" w:sz="0" w:space="0" w:color="auto"/>
            <w:left w:val="none" w:sz="0" w:space="0" w:color="auto"/>
            <w:bottom w:val="none" w:sz="0" w:space="0" w:color="auto"/>
            <w:right w:val="none" w:sz="0" w:space="0" w:color="auto"/>
          </w:divBdr>
        </w:div>
        <w:div w:id="1478301037">
          <w:marLeft w:val="0"/>
          <w:marRight w:val="0"/>
          <w:marTop w:val="0"/>
          <w:marBottom w:val="0"/>
          <w:divBdr>
            <w:top w:val="none" w:sz="0" w:space="0" w:color="auto"/>
            <w:left w:val="none" w:sz="0" w:space="0" w:color="auto"/>
            <w:bottom w:val="none" w:sz="0" w:space="0" w:color="auto"/>
            <w:right w:val="none" w:sz="0" w:space="0" w:color="auto"/>
          </w:divBdr>
        </w:div>
        <w:div w:id="1995600833">
          <w:marLeft w:val="0"/>
          <w:marRight w:val="0"/>
          <w:marTop w:val="0"/>
          <w:marBottom w:val="0"/>
          <w:divBdr>
            <w:top w:val="none" w:sz="0" w:space="0" w:color="auto"/>
            <w:left w:val="none" w:sz="0" w:space="0" w:color="auto"/>
            <w:bottom w:val="none" w:sz="0" w:space="0" w:color="auto"/>
            <w:right w:val="none" w:sz="0" w:space="0" w:color="auto"/>
          </w:divBdr>
        </w:div>
        <w:div w:id="1585995403">
          <w:marLeft w:val="0"/>
          <w:marRight w:val="0"/>
          <w:marTop w:val="0"/>
          <w:marBottom w:val="0"/>
          <w:divBdr>
            <w:top w:val="none" w:sz="0" w:space="0" w:color="auto"/>
            <w:left w:val="none" w:sz="0" w:space="0" w:color="auto"/>
            <w:bottom w:val="none" w:sz="0" w:space="0" w:color="auto"/>
            <w:right w:val="none" w:sz="0" w:space="0" w:color="auto"/>
          </w:divBdr>
        </w:div>
        <w:div w:id="354697868">
          <w:marLeft w:val="0"/>
          <w:marRight w:val="0"/>
          <w:marTop w:val="0"/>
          <w:marBottom w:val="0"/>
          <w:divBdr>
            <w:top w:val="none" w:sz="0" w:space="0" w:color="auto"/>
            <w:left w:val="none" w:sz="0" w:space="0" w:color="auto"/>
            <w:bottom w:val="none" w:sz="0" w:space="0" w:color="auto"/>
            <w:right w:val="none" w:sz="0" w:space="0" w:color="auto"/>
          </w:divBdr>
        </w:div>
        <w:div w:id="98258412">
          <w:marLeft w:val="0"/>
          <w:marRight w:val="0"/>
          <w:marTop w:val="0"/>
          <w:marBottom w:val="0"/>
          <w:divBdr>
            <w:top w:val="none" w:sz="0" w:space="0" w:color="auto"/>
            <w:left w:val="none" w:sz="0" w:space="0" w:color="auto"/>
            <w:bottom w:val="none" w:sz="0" w:space="0" w:color="auto"/>
            <w:right w:val="none" w:sz="0" w:space="0" w:color="auto"/>
          </w:divBdr>
        </w:div>
        <w:div w:id="61366551">
          <w:marLeft w:val="0"/>
          <w:marRight w:val="0"/>
          <w:marTop w:val="0"/>
          <w:marBottom w:val="0"/>
          <w:divBdr>
            <w:top w:val="none" w:sz="0" w:space="0" w:color="auto"/>
            <w:left w:val="none" w:sz="0" w:space="0" w:color="auto"/>
            <w:bottom w:val="none" w:sz="0" w:space="0" w:color="auto"/>
            <w:right w:val="none" w:sz="0" w:space="0" w:color="auto"/>
          </w:divBdr>
        </w:div>
        <w:div w:id="1710951958">
          <w:marLeft w:val="0"/>
          <w:marRight w:val="0"/>
          <w:marTop w:val="0"/>
          <w:marBottom w:val="0"/>
          <w:divBdr>
            <w:top w:val="none" w:sz="0" w:space="0" w:color="auto"/>
            <w:left w:val="none" w:sz="0" w:space="0" w:color="auto"/>
            <w:bottom w:val="none" w:sz="0" w:space="0" w:color="auto"/>
            <w:right w:val="none" w:sz="0" w:space="0" w:color="auto"/>
          </w:divBdr>
        </w:div>
        <w:div w:id="1794707327">
          <w:marLeft w:val="0"/>
          <w:marRight w:val="0"/>
          <w:marTop w:val="0"/>
          <w:marBottom w:val="0"/>
          <w:divBdr>
            <w:top w:val="none" w:sz="0" w:space="0" w:color="auto"/>
            <w:left w:val="none" w:sz="0" w:space="0" w:color="auto"/>
            <w:bottom w:val="none" w:sz="0" w:space="0" w:color="auto"/>
            <w:right w:val="none" w:sz="0" w:space="0" w:color="auto"/>
          </w:divBdr>
        </w:div>
        <w:div w:id="155418585">
          <w:marLeft w:val="0"/>
          <w:marRight w:val="0"/>
          <w:marTop w:val="0"/>
          <w:marBottom w:val="0"/>
          <w:divBdr>
            <w:top w:val="none" w:sz="0" w:space="0" w:color="auto"/>
            <w:left w:val="none" w:sz="0" w:space="0" w:color="auto"/>
            <w:bottom w:val="none" w:sz="0" w:space="0" w:color="auto"/>
            <w:right w:val="none" w:sz="0" w:space="0" w:color="auto"/>
          </w:divBdr>
        </w:div>
        <w:div w:id="1582830083">
          <w:marLeft w:val="0"/>
          <w:marRight w:val="0"/>
          <w:marTop w:val="0"/>
          <w:marBottom w:val="0"/>
          <w:divBdr>
            <w:top w:val="none" w:sz="0" w:space="0" w:color="auto"/>
            <w:left w:val="none" w:sz="0" w:space="0" w:color="auto"/>
            <w:bottom w:val="none" w:sz="0" w:space="0" w:color="auto"/>
            <w:right w:val="none" w:sz="0" w:space="0" w:color="auto"/>
          </w:divBdr>
        </w:div>
        <w:div w:id="328875694">
          <w:marLeft w:val="0"/>
          <w:marRight w:val="0"/>
          <w:marTop w:val="0"/>
          <w:marBottom w:val="0"/>
          <w:divBdr>
            <w:top w:val="none" w:sz="0" w:space="0" w:color="auto"/>
            <w:left w:val="none" w:sz="0" w:space="0" w:color="auto"/>
            <w:bottom w:val="none" w:sz="0" w:space="0" w:color="auto"/>
            <w:right w:val="none" w:sz="0" w:space="0" w:color="auto"/>
          </w:divBdr>
        </w:div>
        <w:div w:id="885799747">
          <w:marLeft w:val="0"/>
          <w:marRight w:val="0"/>
          <w:marTop w:val="0"/>
          <w:marBottom w:val="0"/>
          <w:divBdr>
            <w:top w:val="none" w:sz="0" w:space="0" w:color="auto"/>
            <w:left w:val="none" w:sz="0" w:space="0" w:color="auto"/>
            <w:bottom w:val="none" w:sz="0" w:space="0" w:color="auto"/>
            <w:right w:val="none" w:sz="0" w:space="0" w:color="auto"/>
          </w:divBdr>
        </w:div>
        <w:div w:id="105471686">
          <w:marLeft w:val="0"/>
          <w:marRight w:val="0"/>
          <w:marTop w:val="0"/>
          <w:marBottom w:val="0"/>
          <w:divBdr>
            <w:top w:val="none" w:sz="0" w:space="0" w:color="auto"/>
            <w:left w:val="none" w:sz="0" w:space="0" w:color="auto"/>
            <w:bottom w:val="none" w:sz="0" w:space="0" w:color="auto"/>
            <w:right w:val="none" w:sz="0" w:space="0" w:color="auto"/>
          </w:divBdr>
        </w:div>
        <w:div w:id="88353727">
          <w:marLeft w:val="0"/>
          <w:marRight w:val="0"/>
          <w:marTop w:val="0"/>
          <w:marBottom w:val="0"/>
          <w:divBdr>
            <w:top w:val="none" w:sz="0" w:space="0" w:color="auto"/>
            <w:left w:val="none" w:sz="0" w:space="0" w:color="auto"/>
            <w:bottom w:val="none" w:sz="0" w:space="0" w:color="auto"/>
            <w:right w:val="none" w:sz="0" w:space="0" w:color="auto"/>
          </w:divBdr>
        </w:div>
        <w:div w:id="1693804596">
          <w:marLeft w:val="0"/>
          <w:marRight w:val="0"/>
          <w:marTop w:val="0"/>
          <w:marBottom w:val="0"/>
          <w:divBdr>
            <w:top w:val="none" w:sz="0" w:space="0" w:color="auto"/>
            <w:left w:val="none" w:sz="0" w:space="0" w:color="auto"/>
            <w:bottom w:val="none" w:sz="0" w:space="0" w:color="auto"/>
            <w:right w:val="none" w:sz="0" w:space="0" w:color="auto"/>
          </w:divBdr>
        </w:div>
        <w:div w:id="964848490">
          <w:marLeft w:val="0"/>
          <w:marRight w:val="0"/>
          <w:marTop w:val="0"/>
          <w:marBottom w:val="0"/>
          <w:divBdr>
            <w:top w:val="none" w:sz="0" w:space="0" w:color="auto"/>
            <w:left w:val="none" w:sz="0" w:space="0" w:color="auto"/>
            <w:bottom w:val="none" w:sz="0" w:space="0" w:color="auto"/>
            <w:right w:val="none" w:sz="0" w:space="0" w:color="auto"/>
          </w:divBdr>
        </w:div>
        <w:div w:id="1469056703">
          <w:marLeft w:val="0"/>
          <w:marRight w:val="0"/>
          <w:marTop w:val="0"/>
          <w:marBottom w:val="0"/>
          <w:divBdr>
            <w:top w:val="none" w:sz="0" w:space="0" w:color="auto"/>
            <w:left w:val="none" w:sz="0" w:space="0" w:color="auto"/>
            <w:bottom w:val="none" w:sz="0" w:space="0" w:color="auto"/>
            <w:right w:val="none" w:sz="0" w:space="0" w:color="auto"/>
          </w:divBdr>
        </w:div>
        <w:div w:id="1475291688">
          <w:marLeft w:val="0"/>
          <w:marRight w:val="0"/>
          <w:marTop w:val="0"/>
          <w:marBottom w:val="0"/>
          <w:divBdr>
            <w:top w:val="none" w:sz="0" w:space="0" w:color="auto"/>
            <w:left w:val="none" w:sz="0" w:space="0" w:color="auto"/>
            <w:bottom w:val="none" w:sz="0" w:space="0" w:color="auto"/>
            <w:right w:val="none" w:sz="0" w:space="0" w:color="auto"/>
          </w:divBdr>
        </w:div>
        <w:div w:id="1524052848">
          <w:marLeft w:val="0"/>
          <w:marRight w:val="0"/>
          <w:marTop w:val="0"/>
          <w:marBottom w:val="0"/>
          <w:divBdr>
            <w:top w:val="none" w:sz="0" w:space="0" w:color="auto"/>
            <w:left w:val="none" w:sz="0" w:space="0" w:color="auto"/>
            <w:bottom w:val="none" w:sz="0" w:space="0" w:color="auto"/>
            <w:right w:val="none" w:sz="0" w:space="0" w:color="auto"/>
          </w:divBdr>
        </w:div>
        <w:div w:id="1690830323">
          <w:marLeft w:val="0"/>
          <w:marRight w:val="0"/>
          <w:marTop w:val="0"/>
          <w:marBottom w:val="0"/>
          <w:divBdr>
            <w:top w:val="none" w:sz="0" w:space="0" w:color="auto"/>
            <w:left w:val="none" w:sz="0" w:space="0" w:color="auto"/>
            <w:bottom w:val="none" w:sz="0" w:space="0" w:color="auto"/>
            <w:right w:val="none" w:sz="0" w:space="0" w:color="auto"/>
          </w:divBdr>
        </w:div>
        <w:div w:id="1139495203">
          <w:marLeft w:val="0"/>
          <w:marRight w:val="0"/>
          <w:marTop w:val="0"/>
          <w:marBottom w:val="0"/>
          <w:divBdr>
            <w:top w:val="none" w:sz="0" w:space="0" w:color="auto"/>
            <w:left w:val="none" w:sz="0" w:space="0" w:color="auto"/>
            <w:bottom w:val="none" w:sz="0" w:space="0" w:color="auto"/>
            <w:right w:val="none" w:sz="0" w:space="0" w:color="auto"/>
          </w:divBdr>
        </w:div>
        <w:div w:id="1391223863">
          <w:marLeft w:val="0"/>
          <w:marRight w:val="0"/>
          <w:marTop w:val="0"/>
          <w:marBottom w:val="0"/>
          <w:divBdr>
            <w:top w:val="none" w:sz="0" w:space="0" w:color="auto"/>
            <w:left w:val="none" w:sz="0" w:space="0" w:color="auto"/>
            <w:bottom w:val="none" w:sz="0" w:space="0" w:color="auto"/>
            <w:right w:val="none" w:sz="0" w:space="0" w:color="auto"/>
          </w:divBdr>
        </w:div>
        <w:div w:id="1036344935">
          <w:marLeft w:val="0"/>
          <w:marRight w:val="0"/>
          <w:marTop w:val="0"/>
          <w:marBottom w:val="0"/>
          <w:divBdr>
            <w:top w:val="none" w:sz="0" w:space="0" w:color="auto"/>
            <w:left w:val="none" w:sz="0" w:space="0" w:color="auto"/>
            <w:bottom w:val="none" w:sz="0" w:space="0" w:color="auto"/>
            <w:right w:val="none" w:sz="0" w:space="0" w:color="auto"/>
          </w:divBdr>
        </w:div>
        <w:div w:id="917904966">
          <w:marLeft w:val="0"/>
          <w:marRight w:val="0"/>
          <w:marTop w:val="0"/>
          <w:marBottom w:val="0"/>
          <w:divBdr>
            <w:top w:val="none" w:sz="0" w:space="0" w:color="auto"/>
            <w:left w:val="none" w:sz="0" w:space="0" w:color="auto"/>
            <w:bottom w:val="none" w:sz="0" w:space="0" w:color="auto"/>
            <w:right w:val="none" w:sz="0" w:space="0" w:color="auto"/>
          </w:divBdr>
        </w:div>
        <w:div w:id="101845947">
          <w:marLeft w:val="0"/>
          <w:marRight w:val="0"/>
          <w:marTop w:val="0"/>
          <w:marBottom w:val="0"/>
          <w:divBdr>
            <w:top w:val="none" w:sz="0" w:space="0" w:color="auto"/>
            <w:left w:val="none" w:sz="0" w:space="0" w:color="auto"/>
            <w:bottom w:val="none" w:sz="0" w:space="0" w:color="auto"/>
            <w:right w:val="none" w:sz="0" w:space="0" w:color="auto"/>
          </w:divBdr>
        </w:div>
        <w:div w:id="2138833798">
          <w:marLeft w:val="0"/>
          <w:marRight w:val="0"/>
          <w:marTop w:val="0"/>
          <w:marBottom w:val="0"/>
          <w:divBdr>
            <w:top w:val="none" w:sz="0" w:space="0" w:color="auto"/>
            <w:left w:val="none" w:sz="0" w:space="0" w:color="auto"/>
            <w:bottom w:val="none" w:sz="0" w:space="0" w:color="auto"/>
            <w:right w:val="none" w:sz="0" w:space="0" w:color="auto"/>
          </w:divBdr>
        </w:div>
        <w:div w:id="761999423">
          <w:marLeft w:val="0"/>
          <w:marRight w:val="0"/>
          <w:marTop w:val="0"/>
          <w:marBottom w:val="0"/>
          <w:divBdr>
            <w:top w:val="none" w:sz="0" w:space="0" w:color="auto"/>
            <w:left w:val="none" w:sz="0" w:space="0" w:color="auto"/>
            <w:bottom w:val="none" w:sz="0" w:space="0" w:color="auto"/>
            <w:right w:val="none" w:sz="0" w:space="0" w:color="auto"/>
          </w:divBdr>
        </w:div>
        <w:div w:id="2081442656">
          <w:marLeft w:val="0"/>
          <w:marRight w:val="0"/>
          <w:marTop w:val="0"/>
          <w:marBottom w:val="0"/>
          <w:divBdr>
            <w:top w:val="none" w:sz="0" w:space="0" w:color="auto"/>
            <w:left w:val="none" w:sz="0" w:space="0" w:color="auto"/>
            <w:bottom w:val="none" w:sz="0" w:space="0" w:color="auto"/>
            <w:right w:val="none" w:sz="0" w:space="0" w:color="auto"/>
          </w:divBdr>
        </w:div>
        <w:div w:id="1387992900">
          <w:marLeft w:val="0"/>
          <w:marRight w:val="0"/>
          <w:marTop w:val="0"/>
          <w:marBottom w:val="0"/>
          <w:divBdr>
            <w:top w:val="none" w:sz="0" w:space="0" w:color="auto"/>
            <w:left w:val="none" w:sz="0" w:space="0" w:color="auto"/>
            <w:bottom w:val="none" w:sz="0" w:space="0" w:color="auto"/>
            <w:right w:val="none" w:sz="0" w:space="0" w:color="auto"/>
          </w:divBdr>
        </w:div>
        <w:div w:id="402260176">
          <w:marLeft w:val="0"/>
          <w:marRight w:val="0"/>
          <w:marTop w:val="0"/>
          <w:marBottom w:val="0"/>
          <w:divBdr>
            <w:top w:val="none" w:sz="0" w:space="0" w:color="auto"/>
            <w:left w:val="none" w:sz="0" w:space="0" w:color="auto"/>
            <w:bottom w:val="none" w:sz="0" w:space="0" w:color="auto"/>
            <w:right w:val="none" w:sz="0" w:space="0" w:color="auto"/>
          </w:divBdr>
        </w:div>
        <w:div w:id="802389718">
          <w:marLeft w:val="0"/>
          <w:marRight w:val="0"/>
          <w:marTop w:val="0"/>
          <w:marBottom w:val="0"/>
          <w:divBdr>
            <w:top w:val="none" w:sz="0" w:space="0" w:color="auto"/>
            <w:left w:val="none" w:sz="0" w:space="0" w:color="auto"/>
            <w:bottom w:val="none" w:sz="0" w:space="0" w:color="auto"/>
            <w:right w:val="none" w:sz="0" w:space="0" w:color="auto"/>
          </w:divBdr>
        </w:div>
        <w:div w:id="302272493">
          <w:marLeft w:val="0"/>
          <w:marRight w:val="0"/>
          <w:marTop w:val="0"/>
          <w:marBottom w:val="0"/>
          <w:divBdr>
            <w:top w:val="none" w:sz="0" w:space="0" w:color="auto"/>
            <w:left w:val="none" w:sz="0" w:space="0" w:color="auto"/>
            <w:bottom w:val="none" w:sz="0" w:space="0" w:color="auto"/>
            <w:right w:val="none" w:sz="0" w:space="0" w:color="auto"/>
          </w:divBdr>
        </w:div>
        <w:div w:id="1385525003">
          <w:marLeft w:val="0"/>
          <w:marRight w:val="0"/>
          <w:marTop w:val="0"/>
          <w:marBottom w:val="0"/>
          <w:divBdr>
            <w:top w:val="none" w:sz="0" w:space="0" w:color="auto"/>
            <w:left w:val="none" w:sz="0" w:space="0" w:color="auto"/>
            <w:bottom w:val="none" w:sz="0" w:space="0" w:color="auto"/>
            <w:right w:val="none" w:sz="0" w:space="0" w:color="auto"/>
          </w:divBdr>
        </w:div>
        <w:div w:id="322853863">
          <w:marLeft w:val="0"/>
          <w:marRight w:val="0"/>
          <w:marTop w:val="0"/>
          <w:marBottom w:val="0"/>
          <w:divBdr>
            <w:top w:val="none" w:sz="0" w:space="0" w:color="auto"/>
            <w:left w:val="none" w:sz="0" w:space="0" w:color="auto"/>
            <w:bottom w:val="none" w:sz="0" w:space="0" w:color="auto"/>
            <w:right w:val="none" w:sz="0" w:space="0" w:color="auto"/>
          </w:divBdr>
        </w:div>
        <w:div w:id="1596009829">
          <w:marLeft w:val="0"/>
          <w:marRight w:val="0"/>
          <w:marTop w:val="0"/>
          <w:marBottom w:val="0"/>
          <w:divBdr>
            <w:top w:val="none" w:sz="0" w:space="0" w:color="auto"/>
            <w:left w:val="none" w:sz="0" w:space="0" w:color="auto"/>
            <w:bottom w:val="none" w:sz="0" w:space="0" w:color="auto"/>
            <w:right w:val="none" w:sz="0" w:space="0" w:color="auto"/>
          </w:divBdr>
        </w:div>
        <w:div w:id="53968604">
          <w:marLeft w:val="0"/>
          <w:marRight w:val="0"/>
          <w:marTop w:val="0"/>
          <w:marBottom w:val="0"/>
          <w:divBdr>
            <w:top w:val="none" w:sz="0" w:space="0" w:color="auto"/>
            <w:left w:val="none" w:sz="0" w:space="0" w:color="auto"/>
            <w:bottom w:val="none" w:sz="0" w:space="0" w:color="auto"/>
            <w:right w:val="none" w:sz="0" w:space="0" w:color="auto"/>
          </w:divBdr>
        </w:div>
        <w:div w:id="1860312847">
          <w:marLeft w:val="0"/>
          <w:marRight w:val="0"/>
          <w:marTop w:val="0"/>
          <w:marBottom w:val="0"/>
          <w:divBdr>
            <w:top w:val="none" w:sz="0" w:space="0" w:color="auto"/>
            <w:left w:val="none" w:sz="0" w:space="0" w:color="auto"/>
            <w:bottom w:val="none" w:sz="0" w:space="0" w:color="auto"/>
            <w:right w:val="none" w:sz="0" w:space="0" w:color="auto"/>
          </w:divBdr>
        </w:div>
        <w:div w:id="214971924">
          <w:marLeft w:val="0"/>
          <w:marRight w:val="0"/>
          <w:marTop w:val="0"/>
          <w:marBottom w:val="0"/>
          <w:divBdr>
            <w:top w:val="none" w:sz="0" w:space="0" w:color="auto"/>
            <w:left w:val="none" w:sz="0" w:space="0" w:color="auto"/>
            <w:bottom w:val="none" w:sz="0" w:space="0" w:color="auto"/>
            <w:right w:val="none" w:sz="0" w:space="0" w:color="auto"/>
          </w:divBdr>
        </w:div>
        <w:div w:id="583879942">
          <w:marLeft w:val="0"/>
          <w:marRight w:val="0"/>
          <w:marTop w:val="0"/>
          <w:marBottom w:val="0"/>
          <w:divBdr>
            <w:top w:val="none" w:sz="0" w:space="0" w:color="auto"/>
            <w:left w:val="none" w:sz="0" w:space="0" w:color="auto"/>
            <w:bottom w:val="none" w:sz="0" w:space="0" w:color="auto"/>
            <w:right w:val="none" w:sz="0" w:space="0" w:color="auto"/>
          </w:divBdr>
        </w:div>
        <w:div w:id="2036349412">
          <w:marLeft w:val="0"/>
          <w:marRight w:val="0"/>
          <w:marTop w:val="0"/>
          <w:marBottom w:val="0"/>
          <w:divBdr>
            <w:top w:val="none" w:sz="0" w:space="0" w:color="auto"/>
            <w:left w:val="none" w:sz="0" w:space="0" w:color="auto"/>
            <w:bottom w:val="none" w:sz="0" w:space="0" w:color="auto"/>
            <w:right w:val="none" w:sz="0" w:space="0" w:color="auto"/>
          </w:divBdr>
        </w:div>
        <w:div w:id="19015036">
          <w:marLeft w:val="0"/>
          <w:marRight w:val="0"/>
          <w:marTop w:val="0"/>
          <w:marBottom w:val="0"/>
          <w:divBdr>
            <w:top w:val="none" w:sz="0" w:space="0" w:color="auto"/>
            <w:left w:val="none" w:sz="0" w:space="0" w:color="auto"/>
            <w:bottom w:val="none" w:sz="0" w:space="0" w:color="auto"/>
            <w:right w:val="none" w:sz="0" w:space="0" w:color="auto"/>
          </w:divBdr>
        </w:div>
        <w:div w:id="456070167">
          <w:marLeft w:val="0"/>
          <w:marRight w:val="0"/>
          <w:marTop w:val="0"/>
          <w:marBottom w:val="0"/>
          <w:divBdr>
            <w:top w:val="none" w:sz="0" w:space="0" w:color="auto"/>
            <w:left w:val="none" w:sz="0" w:space="0" w:color="auto"/>
            <w:bottom w:val="none" w:sz="0" w:space="0" w:color="auto"/>
            <w:right w:val="none" w:sz="0" w:space="0" w:color="auto"/>
          </w:divBdr>
        </w:div>
        <w:div w:id="1154376622">
          <w:marLeft w:val="0"/>
          <w:marRight w:val="0"/>
          <w:marTop w:val="0"/>
          <w:marBottom w:val="0"/>
          <w:divBdr>
            <w:top w:val="none" w:sz="0" w:space="0" w:color="auto"/>
            <w:left w:val="none" w:sz="0" w:space="0" w:color="auto"/>
            <w:bottom w:val="none" w:sz="0" w:space="0" w:color="auto"/>
            <w:right w:val="none" w:sz="0" w:space="0" w:color="auto"/>
          </w:divBdr>
        </w:div>
        <w:div w:id="828520252">
          <w:marLeft w:val="0"/>
          <w:marRight w:val="0"/>
          <w:marTop w:val="0"/>
          <w:marBottom w:val="0"/>
          <w:divBdr>
            <w:top w:val="none" w:sz="0" w:space="0" w:color="auto"/>
            <w:left w:val="none" w:sz="0" w:space="0" w:color="auto"/>
            <w:bottom w:val="none" w:sz="0" w:space="0" w:color="auto"/>
            <w:right w:val="none" w:sz="0" w:space="0" w:color="auto"/>
          </w:divBdr>
        </w:div>
        <w:div w:id="528296309">
          <w:marLeft w:val="0"/>
          <w:marRight w:val="0"/>
          <w:marTop w:val="0"/>
          <w:marBottom w:val="0"/>
          <w:divBdr>
            <w:top w:val="none" w:sz="0" w:space="0" w:color="auto"/>
            <w:left w:val="none" w:sz="0" w:space="0" w:color="auto"/>
            <w:bottom w:val="none" w:sz="0" w:space="0" w:color="auto"/>
            <w:right w:val="none" w:sz="0" w:space="0" w:color="auto"/>
          </w:divBdr>
        </w:div>
        <w:div w:id="177082622">
          <w:marLeft w:val="0"/>
          <w:marRight w:val="0"/>
          <w:marTop w:val="0"/>
          <w:marBottom w:val="0"/>
          <w:divBdr>
            <w:top w:val="none" w:sz="0" w:space="0" w:color="auto"/>
            <w:left w:val="none" w:sz="0" w:space="0" w:color="auto"/>
            <w:bottom w:val="none" w:sz="0" w:space="0" w:color="auto"/>
            <w:right w:val="none" w:sz="0" w:space="0" w:color="auto"/>
          </w:divBdr>
        </w:div>
        <w:div w:id="1890337333">
          <w:marLeft w:val="0"/>
          <w:marRight w:val="0"/>
          <w:marTop w:val="0"/>
          <w:marBottom w:val="0"/>
          <w:divBdr>
            <w:top w:val="none" w:sz="0" w:space="0" w:color="auto"/>
            <w:left w:val="none" w:sz="0" w:space="0" w:color="auto"/>
            <w:bottom w:val="none" w:sz="0" w:space="0" w:color="auto"/>
            <w:right w:val="none" w:sz="0" w:space="0" w:color="auto"/>
          </w:divBdr>
        </w:div>
        <w:div w:id="322853665">
          <w:marLeft w:val="0"/>
          <w:marRight w:val="0"/>
          <w:marTop w:val="0"/>
          <w:marBottom w:val="0"/>
          <w:divBdr>
            <w:top w:val="none" w:sz="0" w:space="0" w:color="auto"/>
            <w:left w:val="none" w:sz="0" w:space="0" w:color="auto"/>
            <w:bottom w:val="none" w:sz="0" w:space="0" w:color="auto"/>
            <w:right w:val="none" w:sz="0" w:space="0" w:color="auto"/>
          </w:divBdr>
        </w:div>
        <w:div w:id="606543070">
          <w:marLeft w:val="0"/>
          <w:marRight w:val="0"/>
          <w:marTop w:val="0"/>
          <w:marBottom w:val="0"/>
          <w:divBdr>
            <w:top w:val="none" w:sz="0" w:space="0" w:color="auto"/>
            <w:left w:val="none" w:sz="0" w:space="0" w:color="auto"/>
            <w:bottom w:val="none" w:sz="0" w:space="0" w:color="auto"/>
            <w:right w:val="none" w:sz="0" w:space="0" w:color="auto"/>
          </w:divBdr>
        </w:div>
        <w:div w:id="1858887543">
          <w:marLeft w:val="0"/>
          <w:marRight w:val="0"/>
          <w:marTop w:val="0"/>
          <w:marBottom w:val="0"/>
          <w:divBdr>
            <w:top w:val="none" w:sz="0" w:space="0" w:color="auto"/>
            <w:left w:val="none" w:sz="0" w:space="0" w:color="auto"/>
            <w:bottom w:val="none" w:sz="0" w:space="0" w:color="auto"/>
            <w:right w:val="none" w:sz="0" w:space="0" w:color="auto"/>
          </w:divBdr>
        </w:div>
        <w:div w:id="1798328167">
          <w:marLeft w:val="0"/>
          <w:marRight w:val="0"/>
          <w:marTop w:val="0"/>
          <w:marBottom w:val="0"/>
          <w:divBdr>
            <w:top w:val="none" w:sz="0" w:space="0" w:color="auto"/>
            <w:left w:val="none" w:sz="0" w:space="0" w:color="auto"/>
            <w:bottom w:val="none" w:sz="0" w:space="0" w:color="auto"/>
            <w:right w:val="none" w:sz="0" w:space="0" w:color="auto"/>
          </w:divBdr>
        </w:div>
        <w:div w:id="1198157449">
          <w:marLeft w:val="0"/>
          <w:marRight w:val="0"/>
          <w:marTop w:val="0"/>
          <w:marBottom w:val="0"/>
          <w:divBdr>
            <w:top w:val="none" w:sz="0" w:space="0" w:color="auto"/>
            <w:left w:val="none" w:sz="0" w:space="0" w:color="auto"/>
            <w:bottom w:val="none" w:sz="0" w:space="0" w:color="auto"/>
            <w:right w:val="none" w:sz="0" w:space="0" w:color="auto"/>
          </w:divBdr>
        </w:div>
        <w:div w:id="429395300">
          <w:marLeft w:val="0"/>
          <w:marRight w:val="0"/>
          <w:marTop w:val="0"/>
          <w:marBottom w:val="0"/>
          <w:divBdr>
            <w:top w:val="none" w:sz="0" w:space="0" w:color="auto"/>
            <w:left w:val="none" w:sz="0" w:space="0" w:color="auto"/>
            <w:bottom w:val="none" w:sz="0" w:space="0" w:color="auto"/>
            <w:right w:val="none" w:sz="0" w:space="0" w:color="auto"/>
          </w:divBdr>
        </w:div>
        <w:div w:id="782767077">
          <w:marLeft w:val="0"/>
          <w:marRight w:val="0"/>
          <w:marTop w:val="0"/>
          <w:marBottom w:val="0"/>
          <w:divBdr>
            <w:top w:val="none" w:sz="0" w:space="0" w:color="auto"/>
            <w:left w:val="none" w:sz="0" w:space="0" w:color="auto"/>
            <w:bottom w:val="none" w:sz="0" w:space="0" w:color="auto"/>
            <w:right w:val="none" w:sz="0" w:space="0" w:color="auto"/>
          </w:divBdr>
        </w:div>
        <w:div w:id="1090274317">
          <w:marLeft w:val="0"/>
          <w:marRight w:val="0"/>
          <w:marTop w:val="0"/>
          <w:marBottom w:val="0"/>
          <w:divBdr>
            <w:top w:val="none" w:sz="0" w:space="0" w:color="auto"/>
            <w:left w:val="none" w:sz="0" w:space="0" w:color="auto"/>
            <w:bottom w:val="none" w:sz="0" w:space="0" w:color="auto"/>
            <w:right w:val="none" w:sz="0" w:space="0" w:color="auto"/>
          </w:divBdr>
        </w:div>
        <w:div w:id="1331835812">
          <w:marLeft w:val="0"/>
          <w:marRight w:val="0"/>
          <w:marTop w:val="0"/>
          <w:marBottom w:val="0"/>
          <w:divBdr>
            <w:top w:val="none" w:sz="0" w:space="0" w:color="auto"/>
            <w:left w:val="none" w:sz="0" w:space="0" w:color="auto"/>
            <w:bottom w:val="none" w:sz="0" w:space="0" w:color="auto"/>
            <w:right w:val="none" w:sz="0" w:space="0" w:color="auto"/>
          </w:divBdr>
        </w:div>
        <w:div w:id="700982625">
          <w:marLeft w:val="0"/>
          <w:marRight w:val="0"/>
          <w:marTop w:val="0"/>
          <w:marBottom w:val="0"/>
          <w:divBdr>
            <w:top w:val="none" w:sz="0" w:space="0" w:color="auto"/>
            <w:left w:val="none" w:sz="0" w:space="0" w:color="auto"/>
            <w:bottom w:val="none" w:sz="0" w:space="0" w:color="auto"/>
            <w:right w:val="none" w:sz="0" w:space="0" w:color="auto"/>
          </w:divBdr>
        </w:div>
        <w:div w:id="467744816">
          <w:marLeft w:val="0"/>
          <w:marRight w:val="0"/>
          <w:marTop w:val="0"/>
          <w:marBottom w:val="0"/>
          <w:divBdr>
            <w:top w:val="none" w:sz="0" w:space="0" w:color="auto"/>
            <w:left w:val="none" w:sz="0" w:space="0" w:color="auto"/>
            <w:bottom w:val="none" w:sz="0" w:space="0" w:color="auto"/>
            <w:right w:val="none" w:sz="0" w:space="0" w:color="auto"/>
          </w:divBdr>
        </w:div>
        <w:div w:id="757601227">
          <w:marLeft w:val="0"/>
          <w:marRight w:val="0"/>
          <w:marTop w:val="0"/>
          <w:marBottom w:val="0"/>
          <w:divBdr>
            <w:top w:val="none" w:sz="0" w:space="0" w:color="auto"/>
            <w:left w:val="none" w:sz="0" w:space="0" w:color="auto"/>
            <w:bottom w:val="none" w:sz="0" w:space="0" w:color="auto"/>
            <w:right w:val="none" w:sz="0" w:space="0" w:color="auto"/>
          </w:divBdr>
        </w:div>
        <w:div w:id="1365902969">
          <w:marLeft w:val="0"/>
          <w:marRight w:val="0"/>
          <w:marTop w:val="0"/>
          <w:marBottom w:val="0"/>
          <w:divBdr>
            <w:top w:val="none" w:sz="0" w:space="0" w:color="auto"/>
            <w:left w:val="none" w:sz="0" w:space="0" w:color="auto"/>
            <w:bottom w:val="none" w:sz="0" w:space="0" w:color="auto"/>
            <w:right w:val="none" w:sz="0" w:space="0" w:color="auto"/>
          </w:divBdr>
        </w:div>
        <w:div w:id="1276407346">
          <w:marLeft w:val="0"/>
          <w:marRight w:val="0"/>
          <w:marTop w:val="0"/>
          <w:marBottom w:val="0"/>
          <w:divBdr>
            <w:top w:val="none" w:sz="0" w:space="0" w:color="auto"/>
            <w:left w:val="none" w:sz="0" w:space="0" w:color="auto"/>
            <w:bottom w:val="none" w:sz="0" w:space="0" w:color="auto"/>
            <w:right w:val="none" w:sz="0" w:space="0" w:color="auto"/>
          </w:divBdr>
        </w:div>
        <w:div w:id="654181640">
          <w:marLeft w:val="0"/>
          <w:marRight w:val="0"/>
          <w:marTop w:val="0"/>
          <w:marBottom w:val="0"/>
          <w:divBdr>
            <w:top w:val="none" w:sz="0" w:space="0" w:color="auto"/>
            <w:left w:val="none" w:sz="0" w:space="0" w:color="auto"/>
            <w:bottom w:val="none" w:sz="0" w:space="0" w:color="auto"/>
            <w:right w:val="none" w:sz="0" w:space="0" w:color="auto"/>
          </w:divBdr>
        </w:div>
        <w:div w:id="6450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1503</Words>
  <Characters>8573</Characters>
  <Application>Microsoft Office Word</Application>
  <DocSecurity>0</DocSecurity>
  <Lines>71</Lines>
  <Paragraphs>20</Paragraphs>
  <ScaleCrop>false</ScaleCrop>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Horpynchenko, Andrii</dc:creator>
  <cp:keywords/>
  <dc:description/>
  <cp:lastModifiedBy>Horpynchenko, Andrii</cp:lastModifiedBy>
  <cp:revision>1</cp:revision>
  <dcterms:created xsi:type="dcterms:W3CDTF">2019-02-24T09:14:00Z</dcterms:created>
  <dcterms:modified xsi:type="dcterms:W3CDTF">2019-02-24T09:15:00Z</dcterms:modified>
</cp:coreProperties>
</file>